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2474D" w14:textId="365E20B0" w:rsidR="00AE3DDE" w:rsidRPr="00C7482F" w:rsidRDefault="00AE3DDE" w:rsidP="00AE3DDE">
      <w:pPr>
        <w:pStyle w:val="ydpebf3a15byiv7994540000ydpa7e7e943yiv9464382269ydp3032904cdefault"/>
        <w:ind w:left="72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Programul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instalarea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sistemelor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producerea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electrică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cuprinsă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între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27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- 100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necesară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consumului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propriu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livrarea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surplusului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 xml:space="preserve"> Energetic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  <w:u w:val="single"/>
        </w:rPr>
        <w:t>Național</w:t>
      </w:r>
      <w:proofErr w:type="spellEnd"/>
    </w:p>
    <w:p w14:paraId="1BD65567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Obiectul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reprezintă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economici IMM-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cuprinsă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27 kWp-100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folosesc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sursele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regenerabile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nepoluante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089710C9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Scopul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reprezintă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susținerea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economici IMM-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creşterea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gradului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utilizare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surselor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regenerabile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precum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eficienţei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energetice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îmbunătăţirea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calităţii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aerului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reducerea</w:t>
      </w:r>
      <w:proofErr w:type="spellEnd"/>
    </w:p>
    <w:p w14:paraId="266BA39F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emisiilor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gaze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efect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utilizarea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necesară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consumului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propriu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livrarea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surplusului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reţeaua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naţională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0A70D1DF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Obiectivul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creşterea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capacităţilor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din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surse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regenerabile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cuprinsă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27 kWp-100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253019F3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 </w:t>
      </w:r>
    </w:p>
    <w:p w14:paraId="4160531F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Caracterul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aria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geografică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aplicare</w:t>
      </w:r>
      <w:proofErr w:type="spellEnd"/>
    </w:p>
    <w:p w14:paraId="2761AFEB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caracter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multianual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nivel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naţional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după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urmează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69A6942C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1.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Bucureşti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-Ilfov;</w:t>
      </w:r>
    </w:p>
    <w:p w14:paraId="368F58F7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2.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NE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Bacău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Botoşani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Iaşi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Neamţ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Suceava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Vaslui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3454D4AC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3.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Brăila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Buzău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Constanţa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Galaţi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Vrancea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Tulcea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356F9544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4.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SM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Argeş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Călăraşi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Dâmboviţa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Giurgiu,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Ialomiţa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Prahova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Teleorman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14BE0FD2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5.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SV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Dolj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Gorj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Mehedinţi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Olt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Vâlcea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5A71B504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6.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V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Arad,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Caraş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-Severin, Hunedoara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Timiş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573A5077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7.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NV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Bihor,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Bistriţa-Năsăud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Cluj,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Sălaj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Satu Mare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Maramureş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732DC24A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8.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judeţele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Alba,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Braşov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Covasna,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Harghita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Mureş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Sibiu.</w:t>
      </w:r>
    </w:p>
    <w:p w14:paraId="3D8381A6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Cuantumul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finanţării</w:t>
      </w:r>
      <w:proofErr w:type="spellEnd"/>
    </w:p>
    <w:p w14:paraId="7911A560" w14:textId="77777777" w:rsidR="00AE3DDE" w:rsidRPr="00C7482F" w:rsidRDefault="00AE3DDE" w:rsidP="00AE3DDE">
      <w:pPr>
        <w:pStyle w:val="ydpebf3a15byiv7994540000ydpa7e7e943yiv9464382269ydp3032904cdefault"/>
        <w:ind w:left="72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  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nerambursabilă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acordă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cuantum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maxim 100.000 de euro,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funcție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reprezentând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90% din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35025F8B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cadrul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programului</w:t>
      </w:r>
      <w:proofErr w:type="spellEnd"/>
    </w:p>
    <w:p w14:paraId="37182127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 Sunt considerate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următoarele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33BC9DD9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achiziţia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minim 27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maxim 100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având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principale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părţi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componente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 invertor/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echipamente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conexiuni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structura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montaj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inteligent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măsoară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cantitatea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permite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colectarea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transmiterea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datelor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relevante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distanţă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format electronic;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tablou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electric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continuu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alternativ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66006F03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(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exclusiv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taxe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avize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autorizații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),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montarea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punerea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funcţiune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reprezentând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maximum 15% din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costurile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echipamentelor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instalaţiilor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39AFB67C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TVA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aferentă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24F87835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(2) Sunt considerate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cheltuielile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efectuate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după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nerambursabilă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beneficiar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6B2855D4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 </w:t>
      </w:r>
    </w:p>
    <w:p w14:paraId="05719849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Criterii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economici IMM </w:t>
      </w:r>
    </w:p>
    <w:p w14:paraId="71EBDC24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Este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participa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cadrul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îndeplineşte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cumulativ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următoarele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criterii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</w:t>
      </w:r>
    </w:p>
    <w:p w14:paraId="0069570E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operator economic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personalitate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juridică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română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</w:p>
    <w:p w14:paraId="643D5EDE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b)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îndeplinite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taxelor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impozitelor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contribuţiilor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amenzilor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stat,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locale conform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prevederilor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vigoare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</w:p>
    <w:p w14:paraId="216D5FFD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deschis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Trezoreria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Statului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angajează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situaţia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sale,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deschidă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până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târziu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finanțare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decontării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</w:p>
    <w:p w14:paraId="7C084001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nu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sub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incidenţa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nr. 85/2014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procedurile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prevenire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insolvenţei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insolvenţă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modificările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şi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completările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ulterioare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nu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suspendate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restricţionate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activităţile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economice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nu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situaţii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similare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nu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procedură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dizolvare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lichidare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desfiinţare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închidere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radiere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inclusiv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închidere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operaţională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nu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sub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administrare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specială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nu face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obiectul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unei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proceduri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justiţie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situaţiile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sus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menţionate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nici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situaţie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similară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</w:p>
    <w:p w14:paraId="638C510F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nu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înregistrat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fapte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sancţionate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legislaţia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financiară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</w:p>
    <w:p w14:paraId="190E9F78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f)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angajează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întocmi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desemnat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toată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documentaţia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necesară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respectând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legislaţia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vigoare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distribuţie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toate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criteriile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solicitate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ghidul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</w:t>
      </w:r>
    </w:p>
    <w:p w14:paraId="61086B19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g)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angajează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desemnat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respectând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legislaţia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vigoare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toate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criteriile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solicitate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ghidul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1B019A3E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 </w:t>
      </w:r>
    </w:p>
    <w:p w14:paraId="2786EF2D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Conţinutul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dosarului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</w:p>
    <w:p w14:paraId="7E926317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Dosarul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trebuie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cuprindă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următoarele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documente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50F07013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completată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integral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tehnoredactare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conform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formularului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anexa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nr. 1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ghid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reprezentantul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legal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împuternicitul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acestuia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33087985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împuternicirea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notarială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persoana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împuternicită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672ABD61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cazier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fiscal 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eliberat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organul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specialitate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Ministerului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depunerii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dosarului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6DB018D0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atestare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fiscală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stat,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economic,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organul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specialitate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Ministerului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depunerii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dosarului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SPV;</w:t>
      </w:r>
    </w:p>
    <w:p w14:paraId="17B4D6F4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atestare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fiscală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impozitele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taxele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venituri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locală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cărei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sediul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social,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depunerii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dosarului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0FA71DFE" w14:textId="77777777" w:rsidR="00AE3DDE" w:rsidRPr="00C7482F" w:rsidRDefault="00AE3DDE" w:rsidP="00AE3DDE">
      <w:pPr>
        <w:pStyle w:val="ydpebf3a15byiv7994540000ydpa7e7e943yiv9464382269ydp3032904cdefault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g)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constatator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oficiul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registrului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comerţului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lângă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tribunalul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cărui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sediul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social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economic,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nu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vechi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30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depunerii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dosarului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; nu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acceptă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formatul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electronic 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constatator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Serviciul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INFOCERT;</w:t>
      </w:r>
    </w:p>
    <w:p w14:paraId="19365A7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 </w:t>
      </w:r>
    </w:p>
    <w:p w14:paraId="55393BC1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Programarea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</w:p>
    <w:p w14:paraId="0FB6419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dispoziţia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solicitanţilor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validați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intermediul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poartă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semnătura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format electronic a </w:t>
      </w:r>
      <w:proofErr w:type="spellStart"/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Autorităţii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..</w:t>
      </w:r>
      <w:proofErr w:type="gramEnd"/>
    </w:p>
    <w:p w14:paraId="5E00107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După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introducerea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datelor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identificare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generează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dispoziţia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aprobat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43842BF9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scanează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introduce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4097D6A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ART. 17 -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finanțare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decontării</w:t>
      </w:r>
      <w:proofErr w:type="spellEnd"/>
    </w:p>
    <w:p w14:paraId="1C11E34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Modelul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finanțare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decontării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anexa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nr. 2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ghid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7548561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(2)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Până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momentul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perfectării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finanțare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dreptul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modifice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completeze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modelul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contract, ulterior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modificare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completare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realizându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-se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acordul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ambelor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părţi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exprimat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scris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act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adiţional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731B4E2D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redactează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două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exemplare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ambele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având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juridică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egală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câte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exemplar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fiecare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parte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7992F99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(4)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vigoare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acestuia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ambele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părţi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până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stingerea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tuturor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obligaţiilor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asumate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167D6588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(5)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După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furnizează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parola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personalizată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acces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63ACBFE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(6) Lista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validaţi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au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pagina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internet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Autorităţii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754A4B1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SUBSECŢIUNEA III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Criterii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proiectului</w:t>
      </w:r>
      <w:proofErr w:type="spellEnd"/>
    </w:p>
    <w:p w14:paraId="3E30AE11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ART. 18 -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Criterii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componentelor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6C9298D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 Este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eligibil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are ca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scop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realizarea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consum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propriu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iar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surplusul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livrat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reţeaua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naţională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distribuţie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4EFF5C8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program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27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– 100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358EA09C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consumatori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racordaţi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reţeaua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naţională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distribuţie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avea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următoarea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dimensionare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3BB43F2A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însumată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minimum 27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maximum 100 </w:t>
      </w:r>
      <w:proofErr w:type="spellStart"/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,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fiecare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minim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300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0CE7F478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b) invertor/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însumată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minimum 27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maximum 100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kWp</w:t>
      </w:r>
      <w:proofErr w:type="spellEnd"/>
    </w:p>
    <w:p w14:paraId="399A5AA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conexiuni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continuu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alternativ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7193FE2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structura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susţinere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capabilă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susţină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tot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adaptată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zonei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unde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conform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unor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documentații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expertiză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structurală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5589D6F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tablou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electric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alternativ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racordul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existentă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24088F9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(4)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Componentele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trebuie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certificate de un organism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acreditat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conformitate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SREN/ISO 17065.</w:t>
      </w:r>
    </w:p>
    <w:p w14:paraId="7779166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(5) Schema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aferente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fabricantul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echipamentelor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trebuie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îndeplinească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următoarele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7B5D4DFF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deconectarea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automată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dispariţia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tensiunii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din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4586351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reconectare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automată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manuală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apariţia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tensiunii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48AF53CD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tensiune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092EABE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maximă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tensiune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5E857AE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maximală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41C8124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f)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frecvenţă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337145D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g)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maximă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frecvenţă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1B9231F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h)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montare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echipament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extern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protecție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îndeplinească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cerințele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menționate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sus.</w:t>
      </w:r>
    </w:p>
    <w:p w14:paraId="52937BD0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(6)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7F01C568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nominală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Pm [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] - 300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Wp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 ±5W</w:t>
      </w:r>
    </w:p>
    <w:p w14:paraId="01FF27BD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toleranţă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pozitivă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+ 5%;</w:t>
      </w:r>
    </w:p>
    <w:p w14:paraId="34A42200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tehnologie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–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monocristalin</w:t>
      </w:r>
      <w:proofErr w:type="spellEnd"/>
    </w:p>
    <w:p w14:paraId="17B9378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aluminiu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/BIPV;</w:t>
      </w:r>
    </w:p>
    <w:p w14:paraId="3793817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conectare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compatibil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MC4;</w:t>
      </w:r>
    </w:p>
    <w:p w14:paraId="30D9B8A0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f)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eficienţă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minimum 18%;</w:t>
      </w:r>
    </w:p>
    <w:p w14:paraId="2B8C8D2C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g) grad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minimum IP65;</w:t>
      </w:r>
    </w:p>
    <w:p w14:paraId="4A10898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h)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rezistenţă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factori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externi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vânt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150 km/h,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zăpadă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500 kg/m^2,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grindină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80 km/h la 25 mm;</w:t>
      </w:r>
    </w:p>
    <w:p w14:paraId="7779EBB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) interval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temperatură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funcţionare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- 40°C - 85°C;</w:t>
      </w:r>
    </w:p>
    <w:p w14:paraId="1B55CC1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j) NOCT - 45°C+/-2°C;</w:t>
      </w:r>
    </w:p>
    <w:p w14:paraId="45834FC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k)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tensiunea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maximă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UM [V] - ≥ 30V;</w:t>
      </w:r>
    </w:p>
    <w:p w14:paraId="599801FF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l)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standarde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minime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obligatorii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module - SREN 61215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SREN 61730; JE61215, IEC 61730</w:t>
      </w:r>
    </w:p>
    <w:p w14:paraId="37916DC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m)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garanţie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minimum 10 ani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fiecare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garanție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productivitate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25 de ani;</w:t>
      </w:r>
    </w:p>
    <w:p w14:paraId="612D3279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n)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garanţie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eficientă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90%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10 ani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80%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25 de ani;</w:t>
      </w:r>
    </w:p>
    <w:p w14:paraId="1DF63B3A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o)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condiţii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măsură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(Standard Test Conditions - STC):</w:t>
      </w:r>
    </w:p>
    <w:p w14:paraId="0A4AEFCC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aer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AM = 1,5;</w:t>
      </w:r>
    </w:p>
    <w:p w14:paraId="77DE22C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–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radiaţie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 = 1.000 W/m^2;</w:t>
      </w:r>
    </w:p>
    <w:p w14:paraId="1FE8F29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–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temperatura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celulei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TC = 25 °C.</w:t>
      </w:r>
    </w:p>
    <w:p w14:paraId="46AED9ED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(7)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invertoarelor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3CEB41D9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puterea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nominală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minimum 27,0 kW;</w:t>
      </w:r>
    </w:p>
    <w:p w14:paraId="2849F920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MPPT;</w:t>
      </w:r>
    </w:p>
    <w:p w14:paraId="38E70B8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ieşire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230/400 Vac, 50 Hz;</w:t>
      </w:r>
    </w:p>
    <w:p w14:paraId="12B312A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eficienţă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minimum 96%;</w:t>
      </w:r>
    </w:p>
    <w:p w14:paraId="7ADEDF10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interval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temperatură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funcţionare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- 25°C - 60°C</w:t>
      </w:r>
    </w:p>
    <w:p w14:paraId="53205F9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f)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umiditate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până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95%;</w:t>
      </w:r>
    </w:p>
    <w:p w14:paraId="1BFF607F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g)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certificări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conform: SREN 62109, SREN 61000, SREN 50438; IEC 62109, IEC 6100, IEC 50438, EN 50178, EN 50438, CEI 016, CEI 021, IEC 61727</w:t>
      </w:r>
    </w:p>
    <w:p w14:paraId="2F25B6AA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h)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compatibil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RDE;</w:t>
      </w:r>
    </w:p>
    <w:p w14:paraId="54DD590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garanţie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invertor - minimum 5 ani.</w:t>
      </w:r>
    </w:p>
    <w:p w14:paraId="4AACF6AC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(8)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capabil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măsurate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printr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-un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protocol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compatibil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reţelei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distribuţie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688006DD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(9)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poate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hibrid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1294391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(10)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trebuie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îndeplinească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invertoarele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sunt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Ordinul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preşedintelui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Autorităţii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Naţionale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Reglementare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Domeniul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nr. 30/2013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aprobarea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Normei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„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Condiţii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racordare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reţelele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interes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public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centralele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electrice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“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modificările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ulterioare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normative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ulterioare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5B5EAA9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(11)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racordului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electric:</w:t>
      </w:r>
    </w:p>
    <w:p w14:paraId="59C2C25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toate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elementele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componente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conectate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respecta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distribuţie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1FA63D8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ieşirea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face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printr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-o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protecţie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bidirecţională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specific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sarcina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distribuţie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4793272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</w:t>
      </w:r>
    </w:p>
    <w:p w14:paraId="7352DFF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a) protocol: Mod Bus liber;</w:t>
      </w:r>
    </w:p>
    <w:p w14:paraId="4D66A87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date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transmise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energie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zilnică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765913B9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garanţie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minimum 5 ani;</w:t>
      </w:r>
    </w:p>
    <w:p w14:paraId="5256992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SREN 60950/SREN 62368, SREN 55032;</w:t>
      </w:r>
    </w:p>
    <w:p w14:paraId="5F3DDA8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(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inclusiv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abonament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SIM)/WAN/LAN;</w:t>
      </w:r>
    </w:p>
    <w:p w14:paraId="62F4A4A9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f)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memorie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capacitate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stocare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compatibilă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volumul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datelor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înregistrate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5E5DD5C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g)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conexiune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: radio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descărcare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directă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inaccesibilitate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reţea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/WAN/LAN;</w:t>
      </w:r>
    </w:p>
    <w:p w14:paraId="50DE8908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h) management SIM: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resetare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distanţă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deficienţă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043BE70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) management SMS: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platforma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resetare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status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091AB95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j) interval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temperatură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funcţionare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: -20°C - +55°C.</w:t>
      </w:r>
    </w:p>
    <w:p w14:paraId="6144B7C9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capabil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stocheze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perioadă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minimum 1 an.</w:t>
      </w:r>
    </w:p>
    <w:p w14:paraId="244B85EB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(14)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trebuie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porturi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descărcare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unde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radio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manual.</w:t>
      </w:r>
    </w:p>
    <w:p w14:paraId="005D516E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(15)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Modulul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comunicaţie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trebuie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fie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compatibil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management liber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prelua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datele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transmise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via un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procesator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date de tip API,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identificând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datele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după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serial din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teren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date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permite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număr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ridicat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operaţiuni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interogare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secundă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face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faţă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cerinţelor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raportare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automată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manuală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1709A04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ART. 19 -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Documente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necesare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beneficiarilor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finanțării</w:t>
      </w:r>
      <w:proofErr w:type="spellEnd"/>
    </w:p>
    <w:p w14:paraId="6755DFC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Documentele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care 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depune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beneficiarul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sunt:</w:t>
      </w:r>
    </w:p>
    <w:p w14:paraId="6476379A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completată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integral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tehnoredactare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conform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formularului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anexa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nr. 3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prezentul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ghid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263FF35A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b)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inregistrare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fiscala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7E67867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c)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împuternicirea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notarială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situaţia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altcineva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decât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original;</w:t>
      </w:r>
    </w:p>
    <w:p w14:paraId="649E0A46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d)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identitate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persoanei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împuternicite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1DFCFC4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e) extras de carte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funciară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nu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vechi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30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din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rezulte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dreptul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proprietate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asupra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imobilului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construcţie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care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implementa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original;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sistemul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panouri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fotovoltaice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deserveşte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construcţia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amplasează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teren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prezenta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plus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faţă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extrasul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carte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funciară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aferent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construcţiei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extras de carte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funciară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nu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mai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vechi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30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din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rezulte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este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proprietar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/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deţine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drept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folosinţă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asupra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imobilului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teren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0D66989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f)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situaţia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din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nu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corespund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parte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totalitate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cuprinse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extrasul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carte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funciară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prezenta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un document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unitatea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administrativ-teritorială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realizeze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corespondenţa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datelor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respective;</w:t>
      </w:r>
    </w:p>
    <w:p w14:paraId="33F7C0AD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g)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atestare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fiscală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obligaţiile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plată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stat,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organul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specialitate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Ministerului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SPV;</w:t>
      </w:r>
    </w:p>
    <w:p w14:paraId="42A78A0F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h)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atestare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fiscală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impozitele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taxele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venituri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locală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cărei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domiciliul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;</w:t>
      </w:r>
    </w:p>
    <w:p w14:paraId="306839CA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certificatul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atestare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fiscală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impozitele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taxele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venituri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ale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bugetului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local,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pe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numele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locală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cărei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teritorială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implementa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valabilitate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data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înscrierii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original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sau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copie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legalizată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cazul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domiciliul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localitate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decât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care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implementează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proiectul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297DDA25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j)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atestatul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ANRE “B”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extrasul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Revisal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privind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calificarea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COR 741103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pentru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instalatorul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desemnat</w:t>
      </w:r>
      <w:proofErr w:type="spellEnd"/>
    </w:p>
    <w:p w14:paraId="0EF6A8BC" w14:textId="4BE73023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 ART. 22 -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Obţinerea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ATR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prezentarea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acestuia</w:t>
      </w:r>
      <w:proofErr w:type="spellEnd"/>
    </w:p>
    <w:p w14:paraId="27B3F663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(1)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termen de 90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publicarea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centralizatoarelor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beneficiarii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aprobaţi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aceştia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au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prezenta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ATR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scanat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și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introdus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3DFFEF6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Neprezentarea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ATR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neintroducerea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document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termenul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. (1) se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consideră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renunţare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atrage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anularea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rezervării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sumei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aferente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respectiv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1E8F5E04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Obligația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operatorului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rețea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respecta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termenele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documentelor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conform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Ordinul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ANRE 69/2020 (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termenul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emitere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ATR – maximum 15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zile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).</w:t>
      </w:r>
    </w:p>
    <w:p w14:paraId="7D168A01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ART. 23 -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Încheierea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nerambursabilă</w:t>
      </w:r>
      <w:proofErr w:type="spellEnd"/>
    </w:p>
    <w:p w14:paraId="64B93E4C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lastRenderedPageBreak/>
        <w:t xml:space="preserve">(1)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Autoritatea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dispoziţia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solicitanţilor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aprobaţi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nerambursabilă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intermediul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aplicaţiei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.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Contractele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poartă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semnătura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format electronic </w:t>
      </w:r>
      <w:proofErr w:type="gram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</w:t>
      </w:r>
      <w:proofErr w:type="gram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Autorităţii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3197E637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(2)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După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introducerea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ATR,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potrivit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prevederilor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art. 22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. (1),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generează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nerambursabilă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pune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dispoziţia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solicitantului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aprobat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vederea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semnării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către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acesta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2B67A872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(3)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termenul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prevăzut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la art. 23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alin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. (1),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beneficiarul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scanează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şi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introduce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în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aplicaţia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informatică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contractul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de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finanţare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nerambursabilă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 xml:space="preserve"> </w:t>
      </w:r>
      <w:proofErr w:type="spellStart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semnat</w:t>
      </w:r>
      <w:proofErr w:type="spellEnd"/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.</w:t>
      </w:r>
    </w:p>
    <w:p w14:paraId="42B5D66F" w14:textId="77777777" w:rsidR="00AE3DDE" w:rsidRPr="00C7482F" w:rsidRDefault="00AE3DDE" w:rsidP="00AE3DDE">
      <w:pPr>
        <w:pStyle w:val="ydpebf3a15byiv7994540000ydpa7e7e943yiv9464382269ydp3032904cmsonormal"/>
        <w:shd w:val="clear" w:color="auto" w:fill="FFFFFF"/>
        <w:spacing w:after="0" w:afterAutospacing="0"/>
        <w:rPr>
          <w:rFonts w:asciiTheme="minorHAnsi" w:hAnsiTheme="minorHAnsi" w:cstheme="minorHAnsi"/>
          <w:b/>
          <w:bCs/>
          <w:color w:val="26282A"/>
          <w:sz w:val="28"/>
          <w:szCs w:val="28"/>
        </w:rPr>
      </w:pPr>
      <w:r w:rsidRPr="00C7482F">
        <w:rPr>
          <w:rFonts w:asciiTheme="minorHAnsi" w:hAnsiTheme="minorHAnsi" w:cstheme="minorHAnsi"/>
          <w:b/>
          <w:bCs/>
          <w:color w:val="26282A"/>
          <w:sz w:val="28"/>
          <w:szCs w:val="28"/>
        </w:rPr>
        <w:t> </w:t>
      </w:r>
    </w:p>
    <w:p w14:paraId="5C63C6EA" w14:textId="77777777" w:rsidR="005F0BAF" w:rsidRPr="00C7482F" w:rsidRDefault="005F0BAF">
      <w:pPr>
        <w:rPr>
          <w:rFonts w:cstheme="minorHAnsi"/>
          <w:b/>
          <w:bCs/>
          <w:sz w:val="28"/>
          <w:szCs w:val="28"/>
        </w:rPr>
      </w:pPr>
    </w:p>
    <w:sectPr w:rsidR="005F0BAF" w:rsidRPr="00C74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DE"/>
    <w:rsid w:val="005F0BAF"/>
    <w:rsid w:val="00AE3DDE"/>
    <w:rsid w:val="00C7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7139"/>
  <w15:chartTrackingRefBased/>
  <w15:docId w15:val="{AC959559-EB34-47AF-A39F-07379487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ebf3a15byiv7994540000ydpa7e7e943yiv9464382269ydp3032904cdefault">
    <w:name w:val="ydpebf3a15byiv7994540000ydpa7e7e943yiv9464382269ydp3032904cdefault"/>
    <w:basedOn w:val="Normal"/>
    <w:rsid w:val="00AE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customStyle="1" w:styleId="ydpebf3a15byiv7994540000ydpa7e7e943yiv9464382269ydp3032904cmsonormal">
    <w:name w:val="ydpebf3a15byiv7994540000ydpa7e7e943yiv9464382269ydp3032904cmsonormal"/>
    <w:basedOn w:val="Normal"/>
    <w:rsid w:val="00AE3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0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16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7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5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56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2608</Words>
  <Characters>14867</Characters>
  <Application>Microsoft Office Word</Application>
  <DocSecurity>0</DocSecurity>
  <Lines>123</Lines>
  <Paragraphs>34</Paragraphs>
  <ScaleCrop>false</ScaleCrop>
  <Company/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Bit</dc:creator>
  <cp:keywords/>
  <dc:description/>
  <cp:lastModifiedBy>Alfa Bit</cp:lastModifiedBy>
  <cp:revision>2</cp:revision>
  <dcterms:created xsi:type="dcterms:W3CDTF">2020-08-25T07:42:00Z</dcterms:created>
  <dcterms:modified xsi:type="dcterms:W3CDTF">2020-08-30T15:58:00Z</dcterms:modified>
</cp:coreProperties>
</file>